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 w:before="2000"/>
        <w:jc w:val="center"/>
      </w:pPr>
      <w:r>
        <w:rPr>
          <w:rFonts w:ascii="Georgia" w:cs="Georgia" w:eastAsia="Georgia" w:hAnsi="Georgia"/>
          <w:b/>
          <w:bCs/>
          <w:color w:val="D4AF37"/>
          <w:sz w:val="28"/>
          <w:szCs w:val="28"/>
        </w:rPr>
        <w:t xml:space="preserve">MANUAL DE IDENTIDAD CORPORATIVA</w:t>
      </w:r>
    </w:p>
    <w:p>
      <w:pPr>
        <w:spacing w:after="1000"/>
        <w:jc w:val="center"/>
      </w:pPr>
      <w:r>
        <w:rPr>
          <w:rFonts w:ascii="Georgia" w:cs="Georgia" w:eastAsia="Georgia" w:hAnsi="Georgia"/>
          <w:b/>
          <w:bCs/>
          <w:color w:val="0D0D0D"/>
          <w:sz w:val="48"/>
          <w:szCs w:val="48"/>
        </w:rPr>
        <w:t xml:space="preserve">ESTÉTICA D' GLORIA</w:t>
      </w:r>
    </w:p>
    <w:p>
      <w:pPr>
        <w:spacing w:after="1500"/>
        <w:jc w:val="center"/>
      </w:pPr>
      <w:r>
        <w:drawing>
          <wp:inline distT="0" distB="0" distL="0" distR="0">
            <wp:extent cx="1714500" cy="1714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000"/>
        <w:jc w:val="center"/>
      </w:pPr>
      <w:r>
        <w:rPr>
          <w:rFonts w:ascii="Calibri" w:cs="Calibri" w:eastAsia="Calibri" w:hAnsi="Calibri"/>
          <w:b w:val="false"/>
          <w:bCs w:val="false"/>
          <w:color w:val="555555"/>
          <w:sz w:val="24"/>
          <w:szCs w:val="24"/>
        </w:rPr>
        <w:t xml:space="preserve">Branding &amp; Identidad Visual Premium</w:t>
      </w:r>
    </w:p>
    <w:p>
      <w:pPr>
        <w:jc w:val="center"/>
      </w:pPr>
      <w:r>
        <w:rPr>
          <w:rFonts w:ascii="Calibri" w:cs="Calibri" w:eastAsia="Calibri" w:hAnsi="Calibri"/>
          <w:b/>
          <w:bCs/>
          <w:color w:val="C9A227"/>
          <w:sz w:val="20"/>
          <w:szCs w:val="20"/>
        </w:rPr>
        <w:t xml:space="preserve">Monterrey, N.L. - 2026</w:t>
      </w:r>
    </w:p>
    <w:p>
      <w:pPr>
        <w:sectPr>
          <w:pgSz w:w="11906" w:h="16838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  <w:spacing w:after="200" w:before="400"/>
      </w:pPr>
      <w:r>
        <w:rPr>
          <w:rFonts w:ascii="Georgia" w:cs="Georgia" w:eastAsia="Georgia" w:hAnsi="Georgia"/>
          <w:b/>
          <w:bCs/>
          <w:color w:val="D4AF37"/>
          <w:sz w:val="32"/>
          <w:szCs w:val="32"/>
        </w:rPr>
        <w:t xml:space="preserve">1. Concepto de la Marca</w:t>
      </w:r>
    </w:p>
    <w:p>
      <w:pPr>
        <w:spacing w:after="200"/>
      </w:pPr>
      <w:r>
        <w:rPr>
          <w:rFonts w:ascii="Calibri" w:cs="Calibri" w:eastAsia="Calibri" w:hAnsi="Calibri"/>
          <w:sz w:val="24"/>
          <w:szCs w:val="24"/>
        </w:rPr>
        <w:t xml:space="preserve">Estética D' Gloria representa elegancia, belleza, confianza, estilo, feminidad y profesionalismo. Es un espacio boutique premium de belleza unisex especializado en Monterrey, diseñado para brindar una experiencia de lujo accesible y atención personalizada.</w:t>
      </w:r>
    </w:p>
    <w:p>
      <w:pPr>
        <w:spacing w:after="200"/>
      </w:pPr>
      <w:r>
        <w:rPr>
          <w:rFonts w:ascii="Calibri" w:cs="Calibri" w:eastAsia="Calibri" w:hAnsi="Calibri"/>
          <w:sz w:val="24"/>
          <w:szCs w:val="24"/>
        </w:rPr>
        <w:t xml:space="preserve">El logotipo y su sistema de identidad corporativa transmiten sofisticación y modernidad. La marca se enfoca en las siguientes especialidades clave:</w:t>
      </w:r>
    </w:p>
    <w:p>
      <w:pPr>
        <w:pStyle w:val="ListParagraph"/>
        <w:numPr>
          <w:ilvl w:val="0"/>
          <w:numId w:val="1"/>
        </w:numPr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Cortes de Cabello Vanguardistas y Diseño de Imagen</w:t>
      </w:r>
    </w:p>
    <w:p>
      <w:pPr>
        <w:pStyle w:val="ListParagraph"/>
        <w:numPr>
          <w:ilvl w:val="0"/>
          <w:numId w:val="1"/>
        </w:numPr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Colorimetría y Técnicas Especiales de Cabello</w:t>
      </w:r>
    </w:p>
    <w:p>
      <w:pPr>
        <w:pStyle w:val="ListParagraph"/>
        <w:numPr>
          <w:ilvl w:val="0"/>
          <w:numId w:val="1"/>
        </w:numPr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Peinados Elegantes para Eventos y Novias</w:t>
      </w:r>
    </w:p>
    <w:p>
      <w:pPr>
        <w:pStyle w:val="ListParagraph"/>
        <w:numPr>
          <w:ilvl w:val="0"/>
          <w:numId w:val="1"/>
        </w:numPr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Manicure y Pedicure Spa de Lujo</w:t>
      </w:r>
    </w:p>
    <w:p>
      <w:pPr>
        <w:pStyle w:val="ListParagraph"/>
        <w:numPr>
          <w:ilvl w:val="0"/>
          <w:numId w:val="1"/>
        </w:numPr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Depilación y Cuidado de la Piel</w:t>
      </w:r>
    </w:p>
    <w:p>
      <w:pPr>
        <w:pStyle w:val="ListParagraph"/>
        <w:numPr>
          <w:ilvl w:val="0"/>
          <w:numId w:val="1"/>
        </w:numPr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Asesoramiento de Imagen Personal Completo</w:t>
      </w:r>
    </w:p>
    <w:p>
      <w:pPr>
        <w:pStyle w:val="Heading1"/>
        <w:spacing w:after="200" w:before="600"/>
      </w:pPr>
      <w:r>
        <w:rPr>
          <w:rFonts w:ascii="Georgia" w:cs="Georgia" w:eastAsia="Georgia" w:hAnsi="Georgia"/>
          <w:b/>
          <w:bCs/>
          <w:color w:val="D4AF37"/>
          <w:sz w:val="32"/>
          <w:szCs w:val="32"/>
        </w:rPr>
        <w:t xml:space="preserve">2. Logotipos Oficiales</w:t>
      </w:r>
    </w:p>
    <w:p>
      <w:pPr>
        <w:spacing w:after="300"/>
      </w:pPr>
      <w:r>
        <w:rPr>
          <w:rFonts w:ascii="Calibri" w:cs="Calibri" w:eastAsia="Calibri" w:hAnsi="Calibri"/>
          <w:sz w:val="24"/>
          <w:szCs w:val="24"/>
        </w:rPr>
        <w:t xml:space="preserve">A continuación se presentan las versiones oficiales del logotipo diseñadas para adaptarse a diferentes formatos y soportes de comunicación corporativa.</w:t>
      </w:r>
    </w:p>
    <w:p>
      <w:pPr>
        <w:pStyle w:val="Heading2"/>
        <w:spacing w:after="100" w:before="200"/>
      </w:pPr>
      <w:r>
        <w:rPr>
          <w:rFonts w:ascii="Georgia" w:cs="Georgia" w:eastAsia="Georgia" w:hAnsi="Georgia"/>
          <w:b/>
          <w:bCs/>
          <w:color w:val="C9A227"/>
          <w:sz w:val="26"/>
          <w:szCs w:val="26"/>
        </w:rPr>
        <w:t xml:space="preserve">Logotipo Principal Horizontal</w:t>
      </w:r>
    </w:p>
    <w:p>
      <w:pPr>
        <w:spacing w:after="200"/>
      </w:pPr>
      <w:r>
        <w:rPr>
          <w:rFonts w:ascii="Calibri" w:cs="Calibri" w:eastAsia="Calibri" w:hAnsi="Calibri"/>
          <w:sz w:val="24"/>
          <w:szCs w:val="24"/>
        </w:rPr>
        <w:t xml:space="preserve">Esta es la versión principal de la marca, optimizada para banners de páginas web, membretes de cartas, letreros horizontales y cabeceras de redes sociales. Mantiene el equilibrio perfecto entre el isotipo y el nombre de la estética.</w:t>
      </w:r>
    </w:p>
    <w:p>
      <w:pPr>
        <w:spacing w:after="400"/>
        <w:jc w:val="center"/>
      </w:pPr>
      <w:r>
        <w:drawing>
          <wp:inline distT="0" distB="0" distL="0" distR="0">
            <wp:extent cx="3048000" cy="17145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00" w:before="300"/>
      </w:pPr>
      <w:r>
        <w:rPr>
          <w:rFonts w:ascii="Georgia" w:cs="Georgia" w:eastAsia="Georgia" w:hAnsi="Georgia"/>
          <w:b/>
          <w:bCs/>
          <w:color w:val="C9A227"/>
          <w:sz w:val="26"/>
          <w:szCs w:val="26"/>
        </w:rPr>
        <w:t xml:space="preserve">Logotipo Vertical</w:t>
      </w:r>
    </w:p>
    <w:p>
      <w:pPr>
        <w:spacing w:after="200"/>
      </w:pPr>
      <w:r>
        <w:rPr>
          <w:rFonts w:ascii="Calibri" w:cs="Calibri" w:eastAsia="Calibri" w:hAnsi="Calibri"/>
          <w:sz w:val="24"/>
          <w:szCs w:val="24"/>
        </w:rPr>
        <w:t xml:space="preserve">Adecuado para formatos verticales como banners, carteles, anuncios espectaculares y empaques de productos de marca propia.</w:t>
      </w:r>
    </w:p>
    <w:p>
      <w:pPr>
        <w:spacing w:after="400"/>
        <w:jc w:val="center"/>
      </w:pPr>
      <w:r>
        <w:drawing>
          <wp:inline distT="0" distB="0" distL="0" distR="0">
            <wp:extent cx="2381250" cy="2381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spacing w:after="200" w:before="600"/>
      </w:pPr>
      <w:r>
        <w:rPr>
          <w:rFonts w:ascii="Georgia" w:cs="Georgia" w:eastAsia="Georgia" w:hAnsi="Georgia"/>
          <w:b/>
          <w:bCs/>
          <w:color w:val="D4AF37"/>
          <w:sz w:val="32"/>
          <w:szCs w:val="32"/>
        </w:rPr>
        <w:t xml:space="preserve">3. Monograma e Isotipo</w:t>
      </w:r>
    </w:p>
    <w:p>
      <w:pPr>
        <w:spacing w:after="200"/>
      </w:pPr>
      <w:r>
        <w:rPr>
          <w:rFonts w:ascii="Calibri" w:cs="Calibri" w:eastAsia="Calibri" w:hAnsi="Calibri"/>
          <w:sz w:val="24"/>
          <w:szCs w:val="24"/>
        </w:rPr>
        <w:t xml:space="preserve">El monograma 'DG' es el núcleo gráfico de nuestra identidad. Combina de manera elegante las iniciales de 'D' Gloria' con un trazo estilizado de cabello y silueta femenina en la letra 'G', lo que le da un toque único y altamente sofisticado.</w:t>
      </w:r>
    </w:p>
    <w:p>
      <w:pPr>
        <w:spacing w:after="300"/>
        <w:jc w:val="center"/>
      </w:pPr>
      <w:r>
        <w:drawing>
          <wp:inline distT="0" distB="0" distL="0" distR="0">
            <wp:extent cx="1905000" cy="1905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00" w:before="300"/>
      </w:pPr>
      <w:r>
        <w:rPr>
          <w:rFonts w:ascii="Georgia" w:cs="Georgia" w:eastAsia="Georgia" w:hAnsi="Georgia"/>
          <w:b/>
          <w:bCs/>
          <w:color w:val="C9A227"/>
          <w:sz w:val="26"/>
          <w:szCs w:val="26"/>
        </w:rPr>
        <w:t xml:space="preserve">Isotipo / Símbolo Independiente</w:t>
      </w:r>
    </w:p>
    <w:p>
      <w:pPr>
        <w:spacing w:after="200"/>
      </w:pPr>
      <w:r>
        <w:rPr>
          <w:rFonts w:ascii="Calibri" w:cs="Calibri" w:eastAsia="Calibri" w:hAnsi="Calibri"/>
          <w:sz w:val="24"/>
          <w:szCs w:val="24"/>
        </w:rPr>
        <w:t xml:space="preserve">Un símbolo minimalista e independiente que integra destellos de belleza y formas suaves de cabello. Excelente para su uso como foto de perfil de WhatsApp Business, Instagram, botones de la app web y detalles en uniformes.</w:t>
      </w:r>
    </w:p>
    <w:p>
      <w:pPr>
        <w:spacing w:after="400"/>
        <w:jc w:val="center"/>
      </w:pPr>
      <w:r>
        <w:drawing>
          <wp:inline distT="0" distB="0" distL="0" distR="0">
            <wp:extent cx="1905000" cy="1905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spacing w:after="200" w:before="600"/>
      </w:pPr>
      <w:r>
        <w:rPr>
          <w:rFonts w:ascii="Georgia" w:cs="Georgia" w:eastAsia="Georgia" w:hAnsi="Georgia"/>
          <w:b/>
          <w:bCs/>
          <w:color w:val="D4AF37"/>
          <w:sz w:val="32"/>
          <w:szCs w:val="32"/>
        </w:rPr>
        <w:t xml:space="preserve">4. Paleta de Colores</w:t>
      </w:r>
    </w:p>
    <w:p>
      <w:pPr>
        <w:spacing w:after="200"/>
      </w:pPr>
      <w:r>
        <w:rPr>
          <w:rFonts w:ascii="Calibri" w:cs="Calibri" w:eastAsia="Calibri" w:hAnsi="Calibri"/>
          <w:sz w:val="24"/>
          <w:szCs w:val="24"/>
        </w:rPr>
        <w:t xml:space="preserve">La paleta cromática se seleccionó específicamente para transmitir lujo, calidez y modernidad. Los colores oficiales son: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p>
            <w:r>
              <w:rPr>
                <w:b/>
                <w:bCs/>
                <w:color w:val="FFFFFF"/>
              </w:rPr>
              <w:t xml:space="preserve">Color</w:t>
            </w:r>
          </w:p>
        </w:tc>
        <w:tc>
          <w:p>
            <w:r>
              <w:rPr>
                <w:b/>
                <w:bCs/>
                <w:color w:val="FFFFFF"/>
              </w:rPr>
              <w:t xml:space="preserve">Código HEX</w:t>
            </w:r>
          </w:p>
        </w:tc>
        <w:tc>
          <w:p>
            <w:r>
              <w:rPr>
                <w:b/>
                <w:bCs/>
                <w:color w:val="FFFFFF"/>
              </w:rPr>
              <w:t xml:space="preserve">Descripción de Uso</w:t>
            </w:r>
          </w:p>
        </w:tc>
      </w:tr>
      <w:tr>
        <w:tc>
          <w:p>
            <w:r>
              <w:rPr>
                <w:b/>
                <w:bCs/>
              </w:rPr>
              <w:t xml:space="preserve">Negro Profundo</w:t>
            </w:r>
          </w:p>
        </w:tc>
        <w:tc>
          <w:p>
            <w:r>
              <w:t xml:space="preserve">#0D0D0D</w:t>
            </w:r>
          </w:p>
        </w:tc>
        <w:tc>
          <w:p>
            <w:r>
              <w:t xml:space="preserve">Fondo principal de la marca, transmite misterio, exclusividad y elegancia.</w:t>
            </w:r>
          </w:p>
        </w:tc>
      </w:tr>
      <w:tr>
        <w:tc>
          <w:p>
            <w:r>
              <w:rPr>
                <w:b/>
                <w:bCs/>
              </w:rPr>
              <w:t xml:space="preserve">Dorado Metálico</w:t>
            </w:r>
          </w:p>
        </w:tc>
        <w:tc>
          <w:p>
            <w:r>
              <w:t xml:space="preserve">#D4AF37</w:t>
            </w:r>
          </w:p>
        </w:tc>
        <w:tc>
          <w:p>
            <w:r>
              <w:t xml:space="preserve">Acentos principales, monograma, logotipo e iluminación. Simboliza alta calidad.</w:t>
            </w:r>
          </w:p>
        </w:tc>
      </w:tr>
      <w:tr>
        <w:tc>
          <w:p>
            <w:r>
              <w:rPr>
                <w:b/>
                <w:bCs/>
              </w:rPr>
              <w:t xml:space="preserve">Dorado Champagne</w:t>
            </w:r>
          </w:p>
        </w:tc>
        <w:tc>
          <w:p>
            <w:r>
              <w:t xml:space="preserve">#C9A227</w:t>
            </w:r>
          </w:p>
        </w:tc>
        <w:tc>
          <w:p>
            <w:r>
              <w:t xml:space="preserve">Textos secundarios, subtítulos y gradientes. Aporta suavidad y lujo accesible.</w:t>
            </w:r>
          </w:p>
        </w:tc>
      </w:tr>
      <w:tr>
        <w:tc>
          <w:p>
            <w:r>
              <w:rPr>
                <w:b/>
                <w:bCs/>
              </w:rPr>
              <w:t xml:space="preserve">Blanco Marfil</w:t>
            </w:r>
          </w:p>
        </w:tc>
        <w:tc>
          <w:p>
            <w:r>
              <w:t xml:space="preserve">#F8F5F0</w:t>
            </w:r>
          </w:p>
        </w:tc>
        <w:tc>
          <w:p>
            <w:r>
              <w:t xml:space="preserve">Textos de lectura principal en fondos oscuros. Brinda contraste suave y limpieza.</w:t>
            </w:r>
          </w:p>
        </w:tc>
      </w:tr>
    </w:tbl>
    <w:p>
      <w:pPr>
        <w:pStyle w:val="Heading1"/>
        <w:spacing w:after="200" w:before="600"/>
      </w:pPr>
      <w:r>
        <w:rPr>
          <w:rFonts w:ascii="Georgia" w:cs="Georgia" w:eastAsia="Georgia" w:hAnsi="Georgia"/>
          <w:b/>
          <w:bCs/>
          <w:color w:val="D4AF37"/>
          <w:sz w:val="32"/>
          <w:szCs w:val="32"/>
        </w:rPr>
        <w:t xml:space="preserve">5. Tipografía Corporativa</w:t>
      </w:r>
    </w:p>
    <w:p>
      <w:pPr>
        <w:spacing w:after="200"/>
      </w:pPr>
      <w:r>
        <w:rPr>
          <w:rFonts w:ascii="Calibri" w:cs="Calibri" w:eastAsia="Calibri" w:hAnsi="Calibri"/>
          <w:sz w:val="24"/>
          <w:szCs w:val="24"/>
        </w:rPr>
        <w:t xml:space="preserve">La combinación tipográfica establece una jerarquía clara y premium:</w:t>
      </w:r>
    </w:p>
    <w:p>
      <w:pPr>
        <w:pStyle w:val="ListParagraph"/>
        <w:numPr>
          <w:ilvl w:val="0"/>
          <w:numId w:val="1"/>
        </w:numPr>
      </w:pPr>
      <w:r>
        <w:rPr>
          <w:rFonts w:ascii="Georgia" w:cs="Georgia" w:eastAsia="Georgia" w:hAnsi="Georgia"/>
          <w:b/>
          <w:bCs/>
        </w:rPr>
        <w:t xml:space="preserve">Tipografía de Título: </w:t>
      </w:r>
      <w:r>
        <w:rPr>
          <w:rFonts w:ascii="Georgia" w:cs="Georgia" w:eastAsia="Georgia" w:hAnsi="Georgia"/>
        </w:rPr>
        <w:t xml:space="preserve">Tipografía Serif de lujo (por ejemplo, Playfair Display, Cormorant Garamond, Cinzel o Georgia). Se utiliza para el logotipo principal y los encabezados del manual.</w:t>
      </w:r>
    </w:p>
    <w:p>
      <w:pPr>
        <w:pStyle w:val="ListParagraph"/>
        <w:numPr>
          <w:ilvl w:val="0"/>
          <w:numId w:val="1"/>
        </w:numPr>
      </w:pPr>
      <w:r>
        <w:rPr>
          <w:rFonts w:ascii="Calibri" w:cs="Calibri" w:eastAsia="Calibri" w:hAnsi="Calibri"/>
          <w:b/>
          <w:bCs/>
        </w:rPr>
        <w:t xml:space="preserve">Tipografía de Subtítulos y Cuerpo: </w:t>
      </w:r>
      <w:r>
        <w:rPr>
          <w:rFonts w:ascii="Calibri" w:cs="Calibri" w:eastAsia="Calibri" w:hAnsi="Calibri"/>
        </w:rPr>
        <w:t xml:space="preserve">Tipografía Sans-serif moderna y limpia (por ejemplo, Outfit, Inter o Montserrat). Se utiliza para eslóganes, textos descriptivos, listas y cuerpo de texto general en la página web y papelería.</w:t>
      </w:r>
    </w:p>
    <w:p>
      <w:pPr>
        <w:pStyle w:val="Heading1"/>
        <w:spacing w:after="200" w:before="600"/>
      </w:pPr>
      <w:r>
        <w:rPr>
          <w:rFonts w:ascii="Georgia" w:cs="Georgia" w:eastAsia="Georgia" w:hAnsi="Georgia"/>
          <w:b/>
          <w:bCs/>
          <w:color w:val="D4AF37"/>
          <w:sz w:val="32"/>
          <w:szCs w:val="32"/>
        </w:rPr>
        <w:t xml:space="preserve">6. Aplicaciones de Marca y Mockups</w:t>
      </w:r>
    </w:p>
    <w:p>
      <w:pPr>
        <w:spacing w:after="300"/>
      </w:pPr>
      <w:r>
        <w:rPr>
          <w:rFonts w:ascii="Calibri" w:cs="Calibri" w:eastAsia="Calibri" w:hAnsi="Calibri"/>
          <w:sz w:val="24"/>
          <w:szCs w:val="24"/>
        </w:rPr>
        <w:t xml:space="preserve">Para asegurar la coherencia de la marca en entornos reales, se presentan mockups profesionales que muestran la identidad corporativa en la fachada del salón y en su papelería premium.</w:t>
      </w:r>
    </w:p>
    <w:p>
      <w:pPr>
        <w:pStyle w:val="Heading2"/>
        <w:spacing w:after="100" w:before="200"/>
      </w:pPr>
      <w:r>
        <w:rPr>
          <w:rFonts w:ascii="Georgia" w:cs="Georgia" w:eastAsia="Georgia" w:hAnsi="Georgia"/>
          <w:b/>
          <w:bCs/>
          <w:color w:val="C9A227"/>
          <w:sz w:val="26"/>
          <w:szCs w:val="26"/>
        </w:rPr>
        <w:t xml:space="preserve">Fachada Iluminada Premium (Monterrey)</w:t>
      </w:r>
    </w:p>
    <w:p>
      <w:pPr>
        <w:spacing w:after="200"/>
      </w:pPr>
      <w:r>
        <w:rPr>
          <w:rFonts w:ascii="Calibri" w:cs="Calibri" w:eastAsia="Calibri" w:hAnsi="Calibri"/>
          <w:sz w:val="24"/>
          <w:szCs w:val="24"/>
        </w:rPr>
        <w:t xml:space="preserve">El letrero luminoso en 3D con luz dorada cálida sobre una pared negra mate crea una presencia imponente y elegante en la ciudad. Ideal para atraer a clientes exclusivos de Monterrey.</w:t>
      </w:r>
    </w:p>
    <w:p>
      <w:pPr>
        <w:spacing w:after="400"/>
        <w:jc w:val="center"/>
      </w:pPr>
      <w:r>
        <w:drawing>
          <wp:inline distT="0" distB="0" distL="0" distR="0">
            <wp:extent cx="3048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spacing w:after="100" w:before="300"/>
      </w:pPr>
      <w:r>
        <w:rPr>
          <w:rFonts w:ascii="Georgia" w:cs="Georgia" w:eastAsia="Georgia" w:hAnsi="Georgia"/>
          <w:b/>
          <w:bCs/>
          <w:color w:val="C9A227"/>
          <w:sz w:val="26"/>
          <w:szCs w:val="26"/>
        </w:rPr>
        <w:t xml:space="preserve">Papelería Corporativa y Tarjetas de Presentación</w:t>
      </w:r>
    </w:p>
    <w:p>
      <w:pPr>
        <w:spacing w:after="200"/>
      </w:pPr>
      <w:r>
        <w:rPr>
          <w:rFonts w:ascii="Calibri" w:cs="Calibri" w:eastAsia="Calibri" w:hAnsi="Calibri"/>
          <w:sz w:val="24"/>
          <w:szCs w:val="24"/>
        </w:rPr>
        <w:t xml:space="preserve">Presentación del monograma en papelería de lujo con detalles en acabado de pan de oro (gold foil) y tarjetas de presentación en negro mate.</w:t>
      </w:r>
    </w:p>
    <w:p>
      <w:pPr>
        <w:spacing w:after="400"/>
        <w:jc w:val="center"/>
      </w:pPr>
      <w:r>
        <w:drawing>
          <wp:inline distT="0" distB="0" distL="0" distR="0">
            <wp:extent cx="3048000" cy="22860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9df0276f12f5f6409476ad3bd678ba556dfc716.undefined"/><Relationship Id="rId8" Type="http://schemas.openxmlformats.org/officeDocument/2006/relationships/image" Target="media/648f1c620cf02e70faea5ad810592137bc6a96f2.undefined"/><Relationship Id="rId9" Type="http://schemas.openxmlformats.org/officeDocument/2006/relationships/image" Target="media/fe87c415167ea01279b66181272d77b5395f5bb1.undefined"/><Relationship Id="rId10" Type="http://schemas.openxmlformats.org/officeDocument/2006/relationships/image" Target="media/23469c4587e71e182c0a97fc7e546aaf7aec9546.undefined"/><Relationship Id="rId11" Type="http://schemas.openxmlformats.org/officeDocument/2006/relationships/image" Target="media/7abf4d830de324a8567dd4ec78c2e61977a60598.undefined"/><Relationship Id="rId12" Type="http://schemas.openxmlformats.org/officeDocument/2006/relationships/image" Target="media/26b0afbee9b580cab69762742421e6183b6855ff.undefined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2026-06-22T21:35:16.959Z</dcterms:created>
  <dcterms:modified xsi:type="dcterms:W3CDTF">2026-06-22T21:35:16.960Z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